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 Assets used exclusively by the Supplier [</w:t>
            </w:r>
            <w:r w:rsidDel="00000000" w:rsidR="00000000" w:rsidRPr="00000000">
              <w:rPr>
                <w:rFonts w:ascii="Arial" w:cs="Arial" w:eastAsia="Arial" w:hAnsi="Arial"/>
                <w:sz w:val="24"/>
                <w:szCs w:val="24"/>
                <w:rtl w:val="0"/>
              </w:rPr>
              <w:t xml:space="preserve">or a Key Subcontractor]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Supplier Assets used by the Supplier [or a Key Subcontractor] in connection with the Deliverables but which are also used by the Supplier [or Key Subcontractor]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bookmarkStart w:colFirst="0" w:colLast="0" w:name="_heading=h.6tv19ggxumlx" w:id="0"/>
            <w:bookmarkEnd w:id="0"/>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leader="none" w:pos="-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w:t>
      </w:r>
      <w:r w:rsidDel="00000000" w:rsidR="00000000" w:rsidRPr="00000000">
        <w:rPr>
          <w:rFonts w:ascii="Arial" w:cs="Arial" w:eastAsia="Arial" w:hAnsi="Arial"/>
          <w:sz w:val="24"/>
          <w:szCs w:val="24"/>
          <w:rtl w:val="0"/>
        </w:rPr>
        <w:t xml:space="preserve">y [six (6) months]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sz w:val="24"/>
          <w:szCs w:val="24"/>
          <w:rtl w:val="0"/>
        </w:rPr>
        <w:t xml:space="preserve">no later than [twenty (20) Working Days]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soon as reasonably possible following, and in any event no later than [twenty (20) Working Days] following, any material change to the Deliv</w:t>
      </w:r>
      <w:r w:rsidDel="00000000" w:rsidR="00000000" w:rsidRPr="00000000">
        <w:rPr>
          <w:rFonts w:ascii="Arial" w:cs="Arial" w:eastAsia="Arial" w:hAnsi="Arial"/>
          <w:color w:val="000000"/>
          <w:sz w:val="24"/>
          <w:szCs w:val="24"/>
          <w:rtl w:val="0"/>
        </w:rPr>
        <w:t xml:space="preserve">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pxezwc"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30"/>
    <w:bookmarkEnd w:id="30"/>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RM6179</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Ur3ivpwo3fq3bXMMSYWehzCHhQ==">CgMxLjAyDmguNnR2MTlnZ3h1bWx4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WQudngxMjI3OAByITFXSFpWcXJGY0ZWb0Y3eHVHcEhIUlRZRHVpUVV3TV9P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